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NORALBA GARCÍA MORENO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Directora Técnica</w:t>
      </w:r>
    </w:p>
    <w:p>
      <w:pPr>
        <w:pStyle w:val="Normal"/>
        <w:spacing w:lineRule="auto" w:line="240"/>
        <w:jc w:val="both"/>
        <w:rPr/>
      </w:pPr>
      <w:r>
        <w:rPr>
          <w:rFonts w:cs="Arial" w:ascii="Arial" w:hAnsi="Arial"/>
        </w:rPr>
        <w:t>Av 2 Norte # 10-70 (CAM), torre Alcaldía piso 16</w:t>
      </w:r>
    </w:p>
    <w:p>
      <w:pPr>
        <w:pStyle w:val="Normal"/>
        <w:spacing w:lineRule="auto" w:line="240"/>
        <w:jc w:val="both"/>
        <w:rPr/>
      </w:pPr>
      <w:r>
        <w:rPr>
          <w:rFonts w:cs="Arial" w:ascii="Arial" w:hAnsi="Arial"/>
        </w:rPr>
        <w:t>Unidad Administrativa Especial de Gestión de Bienes y Servicios</w:t>
      </w:r>
    </w:p>
    <w:p>
      <w:pPr>
        <w:pStyle w:val="Normal"/>
        <w:spacing w:lineRule="auto" w:line="240"/>
        <w:jc w:val="both"/>
        <w:rPr/>
      </w:pPr>
      <w:r>
        <w:rPr>
          <w:rFonts w:cs="Arial" w:ascii="Arial" w:hAnsi="Arial"/>
        </w:rPr>
        <w:t>noralba.garcia@cali.gov.co</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w:t>
      </w:r>
      <w:r>
        <w:rPr>
          <w:rFonts w:cs="Arial" w:ascii="Arial" w:hAnsi="Arial"/>
        </w:rPr>
        <w:t>apoyo estrategia Cultura Bulevar del Rio.</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 xml:space="preserve">De manera atenta en respuesta a su solicitud </w:t>
      </w:r>
      <w:r>
        <w:rPr>
          <w:rFonts w:eastAsia="Arial" w:cs="Arial" w:ascii="Arial" w:hAnsi="Arial"/>
          <w:b w:val="false"/>
          <w:i w:val="false"/>
          <w:caps w:val="false"/>
          <w:smallCaps w:val="false"/>
          <w:strike w:val="false"/>
          <w:dstrike w:val="false"/>
          <w:color w:val="000000"/>
          <w:u w:val="none"/>
          <w:shd w:fill="FFFFFF" w:val="clear"/>
        </w:rPr>
        <w:t>No.202541810100008804</w:t>
      </w:r>
      <w:r>
        <w:rPr>
          <w:rFonts w:eastAsia="Arial" w:cs="Arial" w:ascii="Arial" w:hAnsi="Arial"/>
          <w:b w:val="false"/>
          <w:i w:val="false"/>
          <w:caps w:val="false"/>
          <w:smallCaps w:val="false"/>
          <w:strike w:val="false"/>
          <w:dstrike w:val="false"/>
          <w:color w:val="000000"/>
          <w:u w:val="none"/>
          <w:shd w:fill="FFFFFF" w:val="clear"/>
        </w:rPr>
        <w:t>,</w:t>
      </w:r>
      <w:r>
        <w:rPr>
          <w:rFonts w:eastAsia="Arial" w:cs="Arial" w:ascii="Arial" w:hAnsi="Arial"/>
          <w:b w:val="false"/>
          <w:i w:val="false"/>
          <w:caps w:val="false"/>
          <w:smallCaps w:val="false"/>
          <w:strike w:val="false"/>
          <w:dstrike w:val="false"/>
          <w:color w:val="000000"/>
          <w:u w:val="none"/>
        </w:rPr>
        <w:t xml:space="preserve"> se comunica que en referencia al asunto,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Teniendo en cuenta lo anterior, se realizó</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fumigación intradomiciliar de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una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vivienda, con motomochila, la cual es una actividad focalizada para casos de dengue grave y muerte probable por dengue, el 2</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5</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de enero del presente año,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fumigo 1 vivienda</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en el barrio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San Pedro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de la comuna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3</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respectivamente.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En lo corrido del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5, </w:t>
      </w:r>
      <w:r>
        <w:rPr>
          <w:rFonts w:ascii="Arial" w:hAnsi="Arial"/>
          <w:b w:val="false"/>
          <w:i w:val="false"/>
          <w:caps w:val="false"/>
          <w:smallCaps w:val="false"/>
          <w:strike w:val="false"/>
          <w:dstrike w:val="false"/>
          <w:color w:val="000000"/>
          <w:sz w:val="24"/>
          <w:u w:val="none"/>
          <w:effect w:val="none"/>
          <w:shd w:fill="auto" w:val="clear"/>
        </w:rPr>
        <w:t xml:space="preserve">se tienen los siguientes resultados en la comuna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3</w:t>
      </w:r>
      <w:r>
        <w:rPr>
          <w:rFonts w:ascii="Arial" w:hAnsi="Arial"/>
          <w:b w:val="false"/>
          <w:i w:val="false"/>
          <w:caps w:val="false"/>
          <w:smallCaps w:val="false"/>
          <w:strike w:val="false"/>
          <w:dstrike w:val="false"/>
          <w:color w:val="000000"/>
          <w:sz w:val="24"/>
          <w:u w:val="none"/>
          <w:effect w:val="none"/>
          <w:shd w:fill="auto" w:val="clear"/>
        </w:rPr>
        <w:t>:</w:t>
      </w:r>
    </w:p>
    <w:tbl>
      <w:tblPr>
        <w:tblW w:w="9360" w:type="dxa"/>
        <w:jc w:val="left"/>
        <w:tblInd w:w="-5" w:type="dxa"/>
        <w:tblLayout w:type="fixed"/>
        <w:tblCellMar>
          <w:top w:w="28" w:type="dxa"/>
          <w:left w:w="98" w:type="dxa"/>
          <w:bottom w:w="28" w:type="dxa"/>
          <w:right w:w="108" w:type="dxa"/>
        </w:tblCellMar>
      </w:tblPr>
      <w:tblGrid>
        <w:gridCol w:w="2265"/>
        <w:gridCol w:w="3854"/>
        <w:gridCol w:w="1650"/>
        <w:gridCol w:w="1590"/>
      </w:tblGrid>
      <w:tr>
        <w:trPr>
          <w:tblHeader w:val="true"/>
          <w:trHeight w:val="659" w:hRule="atLeast"/>
        </w:trPr>
        <w:tc>
          <w:tcPr>
            <w:tcW w:w="226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385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65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59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2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21 - 25 KR 8 - 4N</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5 - 11 KR 10 - 15</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5 - 15 KR 1- 10</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5 - 5 Oeste - 3 Oeste - KR 1- 23</w:t>
            </w:r>
          </w:p>
        </w:tc>
        <w:tc>
          <w:tcPr>
            <w:tcW w:w="385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San Nicolas - Piloto – Hoyo, San Bosco, La Merced - San Pedro – Centro, Peñón - San Antonio - San Cayetano - Libertadores - Nacional</w:t>
            </w:r>
          </w:p>
        </w:tc>
        <w:tc>
          <w:tcPr>
            <w:tcW w:w="165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1624</w:t>
            </w:r>
          </w:p>
        </w:tc>
        <w:tc>
          <w:tcPr>
            <w:tcW w:w="159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3182</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A la fecha se han realizado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16</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visitas de control larvario a Centros Culturales, Centros Docentes o Educativos, Edificios, Empresas, Hoteles, Otras Instituciones, Parqueaderos de la comuna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3</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Los resultados muestran que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no</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Considerando lo descrito</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LOnormal"/>
        <w:spacing w:lineRule="auto" w:line="240"/>
        <w:ind w:left="0" w:right="0" w:hanging="0"/>
        <w:jc w:val="both"/>
        <w:rPr>
          <w:rFonts w:ascii="Arial" w:hAnsi="Arial" w:cs="Arial"/>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Clara Inés Solis Sandoval – Contratista.</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lang w:val="es-ES"/>
        </w:rPr>
        <w:t xml:space="preserve">Elaboró: </w:t>
      </w:r>
      <w:r>
        <w:rPr>
          <w:rFonts w:eastAsia="Times New Roman" w:cs="Arial" w:ascii="Arial" w:hAnsi="Arial"/>
          <w:color w:val="000000"/>
          <w:kern w:val="0"/>
          <w:sz w:val="16"/>
          <w:szCs w:val="16"/>
          <w:shd w:fill="FFFFFF" w:val="clear"/>
          <w:lang w:val="es-ES" w:eastAsia="es-CO" w:bidi="ar-SA"/>
        </w:rPr>
        <w:t xml:space="preserve">Dahiana Quintero Echeverry – Contratista. </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color w:val="000000"/>
          <w:sz w:val="16"/>
          <w:szCs w:val="16"/>
          <w:shd w:fill="FFFFFF" w:val="clear"/>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Application>LibreOffice/7.0.3.1$Windows_X86_64 LibreOffice_project/d7547858d014d4cf69878db179d326fc3483e082</Application>
  <Pages>3</Pages>
  <Words>893</Words>
  <Characters>4832</Characters>
  <CharactersWithSpaces>5716</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2025-03-10T16:44:30Z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